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457A1" w:rsidRPr="00AB54E2" w:rsidRDefault="009457A1" w:rsidP="009457A1">
      <w:pPr>
        <w:jc w:val="both"/>
        <w:rPr>
          <w:rFonts w:ascii="Arial" w:hAnsi="Arial" w:cs="Arial"/>
          <w:b/>
          <w:sz w:val="24"/>
          <w:szCs w:val="24"/>
        </w:rPr>
      </w:pPr>
      <w:r w:rsidRPr="00AB54E2">
        <w:rPr>
          <w:rFonts w:ascii="Arial" w:hAnsi="Arial" w:cs="Arial"/>
          <w:b/>
          <w:sz w:val="24"/>
          <w:szCs w:val="24"/>
          <w:lang w:val="az-Latn-AZ"/>
        </w:rPr>
        <w:t>İqtisadi İslahatların Təhlili və Kommunikasiya Mərkəzinin Türk Dünyası Araşdırmalar Mərkəzinin (TDAM) rəhbəri, siyasi elmlər üzrə fəlsəfə doktoru İlyas Hüseynov</w:t>
      </w:r>
    </w:p>
    <w:p w:rsidR="009457A1" w:rsidRDefault="009457A1" w:rsidP="002A70F6">
      <w:pPr>
        <w:spacing w:before="100" w:beforeAutospacing="1" w:after="100" w:afterAutospacing="1" w:line="240" w:lineRule="auto"/>
        <w:ind w:firstLine="720"/>
        <w:jc w:val="center"/>
        <w:outlineLvl w:val="0"/>
        <w:rPr>
          <w:rFonts w:ascii="Arial" w:eastAsia="Times New Roman" w:hAnsi="Arial" w:cs="Arial"/>
          <w:b/>
          <w:bCs/>
          <w:kern w:val="36"/>
          <w:sz w:val="24"/>
          <w:szCs w:val="24"/>
        </w:rPr>
      </w:pPr>
    </w:p>
    <w:p w:rsidR="009457A1" w:rsidRDefault="009457A1" w:rsidP="002A70F6">
      <w:pPr>
        <w:spacing w:before="100" w:beforeAutospacing="1" w:after="100" w:afterAutospacing="1" w:line="240" w:lineRule="auto"/>
        <w:ind w:firstLine="720"/>
        <w:jc w:val="center"/>
        <w:outlineLvl w:val="0"/>
        <w:rPr>
          <w:rFonts w:ascii="Arial" w:eastAsia="Times New Roman" w:hAnsi="Arial" w:cs="Arial"/>
          <w:b/>
          <w:bCs/>
          <w:kern w:val="36"/>
          <w:sz w:val="24"/>
          <w:szCs w:val="24"/>
        </w:rPr>
      </w:pPr>
    </w:p>
    <w:p w:rsidR="009457A1" w:rsidRPr="00024E4B" w:rsidRDefault="009457A1" w:rsidP="009457A1">
      <w:pPr>
        <w:spacing w:before="100" w:beforeAutospacing="1" w:after="100" w:afterAutospacing="1" w:line="240" w:lineRule="auto"/>
        <w:ind w:firstLine="720"/>
        <w:jc w:val="center"/>
        <w:outlineLvl w:val="0"/>
        <w:rPr>
          <w:rFonts w:ascii="Arial" w:hAnsi="Arial" w:cs="Arial"/>
          <w:b/>
          <w:sz w:val="24"/>
          <w:szCs w:val="24"/>
        </w:rPr>
      </w:pPr>
      <w:r w:rsidRPr="00024E4B">
        <w:rPr>
          <w:rFonts w:ascii="Arial" w:hAnsi="Arial" w:cs="Arial"/>
          <w:b/>
          <w:sz w:val="24"/>
          <w:szCs w:val="24"/>
        </w:rPr>
        <w:t xml:space="preserve">Bakı-Tbilisi-Qars dəmir yolunun genişmiqyaslı modernləşdirilməsi: Orta Dəhliz və Avrasiya bağlantısında yeni strateji mərhələ </w:t>
      </w:r>
    </w:p>
    <w:p w:rsidR="009457A1" w:rsidRPr="00024E4B" w:rsidRDefault="009457A1" w:rsidP="002A70F6">
      <w:pPr>
        <w:spacing w:before="100" w:beforeAutospacing="1" w:after="100" w:afterAutospacing="1" w:line="240" w:lineRule="auto"/>
        <w:ind w:firstLine="720"/>
        <w:jc w:val="center"/>
        <w:outlineLvl w:val="0"/>
        <w:rPr>
          <w:rFonts w:ascii="Arial" w:eastAsia="Times New Roman" w:hAnsi="Arial" w:cs="Arial"/>
          <w:b/>
          <w:bCs/>
          <w:kern w:val="36"/>
          <w:sz w:val="24"/>
          <w:szCs w:val="24"/>
        </w:rPr>
      </w:pPr>
    </w:p>
    <w:p w:rsidR="00170F3C" w:rsidRPr="00170F3C" w:rsidRDefault="00170F3C" w:rsidP="002A70F6">
      <w:pPr>
        <w:spacing w:before="100" w:beforeAutospacing="1" w:after="100" w:afterAutospacing="1" w:line="240" w:lineRule="auto"/>
        <w:ind w:firstLine="720"/>
        <w:jc w:val="both"/>
        <w:outlineLvl w:val="1"/>
        <w:rPr>
          <w:rFonts w:ascii="Arial" w:eastAsia="Times New Roman" w:hAnsi="Arial" w:cs="Arial"/>
          <w:b/>
          <w:bCs/>
          <w:sz w:val="24"/>
          <w:szCs w:val="24"/>
        </w:rPr>
      </w:pPr>
      <w:r w:rsidRPr="00170F3C">
        <w:rPr>
          <w:rFonts w:ascii="Arial" w:eastAsia="Times New Roman" w:hAnsi="Arial" w:cs="Arial"/>
          <w:b/>
          <w:bCs/>
          <w:sz w:val="24"/>
          <w:szCs w:val="24"/>
        </w:rPr>
        <w:t xml:space="preserve">Regional </w:t>
      </w:r>
      <w:r w:rsidR="005E2137" w:rsidRPr="00024E4B">
        <w:rPr>
          <w:rFonts w:ascii="Arial" w:eastAsia="Times New Roman" w:hAnsi="Arial" w:cs="Arial"/>
          <w:b/>
          <w:bCs/>
          <w:sz w:val="24"/>
          <w:szCs w:val="24"/>
        </w:rPr>
        <w:t>i</w:t>
      </w:r>
      <w:r w:rsidRPr="00170F3C">
        <w:rPr>
          <w:rFonts w:ascii="Arial" w:eastAsia="Times New Roman" w:hAnsi="Arial" w:cs="Arial"/>
          <w:b/>
          <w:bCs/>
          <w:sz w:val="24"/>
          <w:szCs w:val="24"/>
        </w:rPr>
        <w:t xml:space="preserve">nfrastruktur </w:t>
      </w:r>
      <w:r w:rsidR="005E2137" w:rsidRPr="00024E4B">
        <w:rPr>
          <w:rFonts w:ascii="Arial" w:eastAsia="Times New Roman" w:hAnsi="Arial" w:cs="Arial"/>
          <w:b/>
          <w:bCs/>
          <w:sz w:val="24"/>
          <w:szCs w:val="24"/>
        </w:rPr>
        <w:t>l</w:t>
      </w:r>
      <w:r w:rsidRPr="00170F3C">
        <w:rPr>
          <w:rFonts w:ascii="Arial" w:eastAsia="Times New Roman" w:hAnsi="Arial" w:cs="Arial"/>
          <w:b/>
          <w:bCs/>
          <w:sz w:val="24"/>
          <w:szCs w:val="24"/>
        </w:rPr>
        <w:t xml:space="preserve">ayihəsindən Avrasiyanın </w:t>
      </w:r>
      <w:r w:rsidR="005E2137" w:rsidRPr="00024E4B">
        <w:rPr>
          <w:rFonts w:ascii="Arial" w:eastAsia="Times New Roman" w:hAnsi="Arial" w:cs="Arial"/>
          <w:b/>
          <w:bCs/>
          <w:sz w:val="24"/>
          <w:szCs w:val="24"/>
        </w:rPr>
        <w:t>g</w:t>
      </w:r>
      <w:r w:rsidRPr="00170F3C">
        <w:rPr>
          <w:rFonts w:ascii="Arial" w:eastAsia="Times New Roman" w:hAnsi="Arial" w:cs="Arial"/>
          <w:b/>
          <w:bCs/>
          <w:sz w:val="24"/>
          <w:szCs w:val="24"/>
        </w:rPr>
        <w:t xml:space="preserve">eoiqtisadi </w:t>
      </w:r>
      <w:r w:rsidR="005E2137" w:rsidRPr="00024E4B">
        <w:rPr>
          <w:rFonts w:ascii="Arial" w:eastAsia="Times New Roman" w:hAnsi="Arial" w:cs="Arial"/>
          <w:b/>
          <w:bCs/>
          <w:sz w:val="24"/>
          <w:szCs w:val="24"/>
        </w:rPr>
        <w:t>a</w:t>
      </w:r>
      <w:r w:rsidRPr="00170F3C">
        <w:rPr>
          <w:rFonts w:ascii="Arial" w:eastAsia="Times New Roman" w:hAnsi="Arial" w:cs="Arial"/>
          <w:b/>
          <w:bCs/>
          <w:sz w:val="24"/>
          <w:szCs w:val="24"/>
        </w:rPr>
        <w:t xml:space="preserve">ktivinə </w:t>
      </w:r>
      <w:r w:rsidR="005E2137" w:rsidRPr="00024E4B">
        <w:rPr>
          <w:rFonts w:ascii="Arial" w:eastAsia="Times New Roman" w:hAnsi="Arial" w:cs="Arial"/>
          <w:b/>
          <w:bCs/>
          <w:sz w:val="24"/>
          <w:szCs w:val="24"/>
        </w:rPr>
        <w:t>d</w:t>
      </w:r>
      <w:r w:rsidRPr="00170F3C">
        <w:rPr>
          <w:rFonts w:ascii="Arial" w:eastAsia="Times New Roman" w:hAnsi="Arial" w:cs="Arial"/>
          <w:b/>
          <w:bCs/>
          <w:sz w:val="24"/>
          <w:szCs w:val="24"/>
        </w:rPr>
        <w:t>oğru</w:t>
      </w:r>
    </w:p>
    <w:p w:rsidR="00170F3C" w:rsidRPr="00170F3C" w:rsidRDefault="00170F3C" w:rsidP="002A70F6">
      <w:pPr>
        <w:spacing w:before="100" w:beforeAutospacing="1" w:after="100" w:afterAutospacing="1" w:line="240" w:lineRule="auto"/>
        <w:ind w:firstLine="720"/>
        <w:jc w:val="both"/>
        <w:rPr>
          <w:rFonts w:ascii="Arial" w:eastAsia="Times New Roman" w:hAnsi="Arial" w:cs="Arial"/>
          <w:sz w:val="24"/>
          <w:szCs w:val="24"/>
        </w:rPr>
      </w:pPr>
      <w:r w:rsidRPr="00170F3C">
        <w:rPr>
          <w:rFonts w:ascii="Arial" w:eastAsia="Times New Roman" w:hAnsi="Arial" w:cs="Arial"/>
          <w:sz w:val="24"/>
          <w:szCs w:val="24"/>
        </w:rPr>
        <w:t>Gürcüstanın Axalkalaki Dəmir Yolu və Logistika Kompleksində modernləşdirilmiş Bakı–Tbilisi–Qars (BTQ) dəmir yolunun istifadəyə verilməsi təkcə Azərbaycan, Gürcüstan və Türkiyə üçün deyil, bütövlükdə Avrasiya məkanında nəqliyyat və logistika əlaqələrinin inkişafı baxımından mühüm hadisə hesab edilməlidir. 2017-ci ildə istismara verilən xəttin modernləşdirilməsinin tamamlanması BTQ-ni regional nəqliyyat layihəsindən Avropa ilə Asiyanı birləşdirən ən vacib strateji marşrutlardan birinə çevirmişdir.</w:t>
      </w:r>
    </w:p>
    <w:p w:rsidR="00170F3C" w:rsidRPr="00170F3C" w:rsidRDefault="00170F3C" w:rsidP="002A70F6">
      <w:pPr>
        <w:spacing w:before="100" w:beforeAutospacing="1" w:after="100" w:afterAutospacing="1" w:line="240" w:lineRule="auto"/>
        <w:ind w:firstLine="720"/>
        <w:jc w:val="both"/>
        <w:rPr>
          <w:rFonts w:ascii="Arial" w:eastAsia="Times New Roman" w:hAnsi="Arial" w:cs="Arial"/>
          <w:sz w:val="24"/>
          <w:szCs w:val="24"/>
        </w:rPr>
      </w:pPr>
      <w:r w:rsidRPr="00170F3C">
        <w:rPr>
          <w:rFonts w:ascii="Arial" w:eastAsia="Times New Roman" w:hAnsi="Arial" w:cs="Arial"/>
          <w:sz w:val="24"/>
          <w:szCs w:val="24"/>
        </w:rPr>
        <w:t>Dəmir yolunun illik yükötürmə qabiliyyətinin 1 milyon tondan 5 milyon tona çatdırılması qlobal ticarət marşrutlarının yenidən formalaşdığı bir dövrə təsadüf edir. Son illərdə beynəlxalq təchizat zəncirlərində müşahidə olunan dəyişikliklər, geosiyasi gərginliklər və alternativ tranzit marşrutlarına artan tələbat Şərq-Qərb istiqamətində yeni bağlantıların əhəmiyyətini daha da artırmışdır.</w:t>
      </w:r>
    </w:p>
    <w:p w:rsidR="00170F3C" w:rsidRPr="00170F3C" w:rsidRDefault="00170F3C" w:rsidP="002A70F6">
      <w:pPr>
        <w:spacing w:before="100" w:beforeAutospacing="1" w:after="100" w:afterAutospacing="1" w:line="240" w:lineRule="auto"/>
        <w:ind w:firstLine="720"/>
        <w:jc w:val="both"/>
        <w:rPr>
          <w:rFonts w:ascii="Arial" w:eastAsia="Times New Roman" w:hAnsi="Arial" w:cs="Arial"/>
          <w:sz w:val="24"/>
          <w:szCs w:val="24"/>
        </w:rPr>
      </w:pPr>
      <w:r w:rsidRPr="00170F3C">
        <w:rPr>
          <w:rFonts w:ascii="Arial" w:eastAsia="Times New Roman" w:hAnsi="Arial" w:cs="Arial"/>
          <w:sz w:val="24"/>
          <w:szCs w:val="24"/>
        </w:rPr>
        <w:t>Bu baxımdan BTQ artıq yalnız üç ölkəni birləşdirən dəmir yolu xətti deyil, Avrasiya məkanında geoiqtisadi proseslərə təsir göstərən mühüm logistika arteriyası kimi çıxış edir.</w:t>
      </w:r>
    </w:p>
    <w:p w:rsidR="00170F3C" w:rsidRPr="00170F3C" w:rsidRDefault="004A35B5" w:rsidP="002A70F6">
      <w:pPr>
        <w:spacing w:before="100" w:beforeAutospacing="1" w:after="100" w:afterAutospacing="1" w:line="240" w:lineRule="auto"/>
        <w:ind w:firstLine="720"/>
        <w:jc w:val="both"/>
        <w:outlineLvl w:val="1"/>
        <w:rPr>
          <w:rFonts w:ascii="Arial" w:eastAsia="Times New Roman" w:hAnsi="Arial" w:cs="Arial"/>
          <w:b/>
          <w:bCs/>
          <w:sz w:val="24"/>
          <w:szCs w:val="24"/>
        </w:rPr>
      </w:pPr>
      <w:r w:rsidRPr="00024E4B">
        <w:rPr>
          <w:rFonts w:ascii="Arial" w:eastAsia="Times New Roman" w:hAnsi="Arial" w:cs="Arial"/>
          <w:b/>
          <w:bCs/>
          <w:sz w:val="24"/>
          <w:szCs w:val="24"/>
        </w:rPr>
        <w:t>Orta Dəhlizin g</w:t>
      </w:r>
      <w:r w:rsidR="00170F3C" w:rsidRPr="00170F3C">
        <w:rPr>
          <w:rFonts w:ascii="Arial" w:eastAsia="Times New Roman" w:hAnsi="Arial" w:cs="Arial"/>
          <w:b/>
          <w:bCs/>
          <w:sz w:val="24"/>
          <w:szCs w:val="24"/>
        </w:rPr>
        <w:t xml:space="preserve">üclənən </w:t>
      </w:r>
      <w:r w:rsidRPr="00024E4B">
        <w:rPr>
          <w:rFonts w:ascii="Arial" w:eastAsia="Times New Roman" w:hAnsi="Arial" w:cs="Arial"/>
          <w:b/>
          <w:bCs/>
          <w:sz w:val="24"/>
          <w:szCs w:val="24"/>
        </w:rPr>
        <w:t>r</w:t>
      </w:r>
      <w:r w:rsidR="00170F3C" w:rsidRPr="00170F3C">
        <w:rPr>
          <w:rFonts w:ascii="Arial" w:eastAsia="Times New Roman" w:hAnsi="Arial" w:cs="Arial"/>
          <w:b/>
          <w:bCs/>
          <w:sz w:val="24"/>
          <w:szCs w:val="24"/>
        </w:rPr>
        <w:t>olu</w:t>
      </w:r>
    </w:p>
    <w:p w:rsidR="00170F3C" w:rsidRPr="00170F3C" w:rsidRDefault="00170F3C" w:rsidP="002A70F6">
      <w:pPr>
        <w:spacing w:before="100" w:beforeAutospacing="1" w:after="100" w:afterAutospacing="1" w:line="240" w:lineRule="auto"/>
        <w:ind w:firstLine="720"/>
        <w:jc w:val="both"/>
        <w:rPr>
          <w:rFonts w:ascii="Arial" w:eastAsia="Times New Roman" w:hAnsi="Arial" w:cs="Arial"/>
          <w:sz w:val="24"/>
          <w:szCs w:val="24"/>
        </w:rPr>
      </w:pPr>
      <w:r w:rsidRPr="00170F3C">
        <w:rPr>
          <w:rFonts w:ascii="Arial" w:eastAsia="Times New Roman" w:hAnsi="Arial" w:cs="Arial"/>
          <w:sz w:val="24"/>
          <w:szCs w:val="24"/>
        </w:rPr>
        <w:t>Müasir qlobal iqtisadiyyatda Orta Dəhlizin əhəmiyyətinin artması beynəlxalq ticarət marşrutlarının şaxələndirilməsi ilə birbaşa bağlıdır. Çin, Mərkəzi Asiya, Xəzər hövzəsi, Cənubi Qafqaz və Avropa arasında alternativ və etibarlı nəqliyyat marşrutlarına ehtiyacın artması fonunda Orta Dəhliz beynəlxalq yükdaşımaların əsas istiqamətlərindən birinə çevrilməkdədir.</w:t>
      </w:r>
    </w:p>
    <w:p w:rsidR="00170F3C" w:rsidRPr="00170F3C" w:rsidRDefault="00170F3C" w:rsidP="002A70F6">
      <w:pPr>
        <w:spacing w:before="100" w:beforeAutospacing="1" w:after="100" w:afterAutospacing="1" w:line="240" w:lineRule="auto"/>
        <w:ind w:firstLine="720"/>
        <w:jc w:val="both"/>
        <w:rPr>
          <w:rFonts w:ascii="Arial" w:eastAsia="Times New Roman" w:hAnsi="Arial" w:cs="Arial"/>
          <w:sz w:val="24"/>
          <w:szCs w:val="24"/>
        </w:rPr>
      </w:pPr>
      <w:r w:rsidRPr="00170F3C">
        <w:rPr>
          <w:rFonts w:ascii="Arial" w:eastAsia="Times New Roman" w:hAnsi="Arial" w:cs="Arial"/>
          <w:sz w:val="24"/>
          <w:szCs w:val="24"/>
        </w:rPr>
        <w:t xml:space="preserve">BTQ dəmir yolu bu dəhlizin ən mühüm quru seqmentlərindən biri hesab olunur. </w:t>
      </w:r>
      <w:r w:rsidR="000D7A0F" w:rsidRPr="00024E4B">
        <w:rPr>
          <w:rFonts w:ascii="Arial" w:eastAsia="Times New Roman" w:hAnsi="Arial" w:cs="Arial"/>
          <w:sz w:val="24"/>
          <w:szCs w:val="24"/>
        </w:rPr>
        <w:t>Bu marşrut</w:t>
      </w:r>
      <w:r w:rsidRPr="00170F3C">
        <w:rPr>
          <w:rFonts w:ascii="Arial" w:eastAsia="Times New Roman" w:hAnsi="Arial" w:cs="Arial"/>
          <w:sz w:val="24"/>
          <w:szCs w:val="24"/>
        </w:rPr>
        <w:t xml:space="preserve"> Xəzər regionunu Türkiyə vasitəsilə Avropa dəmir yolu şəbəkəsi ilə birləşdirərək yüklərin daha qısa müddətdə və daha çevik şəkildə daşınmasına imkan yaradır.</w:t>
      </w:r>
    </w:p>
    <w:p w:rsidR="00170F3C" w:rsidRPr="00170F3C" w:rsidRDefault="00170F3C" w:rsidP="002A70F6">
      <w:pPr>
        <w:spacing w:before="100" w:beforeAutospacing="1" w:after="100" w:afterAutospacing="1" w:line="240" w:lineRule="auto"/>
        <w:ind w:firstLine="720"/>
        <w:jc w:val="both"/>
        <w:rPr>
          <w:rFonts w:ascii="Arial" w:eastAsia="Times New Roman" w:hAnsi="Arial" w:cs="Arial"/>
          <w:sz w:val="24"/>
          <w:szCs w:val="24"/>
        </w:rPr>
      </w:pPr>
      <w:r w:rsidRPr="00170F3C">
        <w:rPr>
          <w:rFonts w:ascii="Arial" w:eastAsia="Times New Roman" w:hAnsi="Arial" w:cs="Arial"/>
          <w:sz w:val="24"/>
          <w:szCs w:val="24"/>
        </w:rPr>
        <w:t xml:space="preserve">Modernləşdirmə layihəsi nəticəsində Gürcüstan ərazisindən keçən 184 kilometrlik hissədə aparılan genişmiqyaslı yenidənqurma işləri marşrutun dayanıqlığını, </w:t>
      </w:r>
      <w:r w:rsidRPr="00170F3C">
        <w:rPr>
          <w:rFonts w:ascii="Arial" w:eastAsia="Times New Roman" w:hAnsi="Arial" w:cs="Arial"/>
          <w:sz w:val="24"/>
          <w:szCs w:val="24"/>
        </w:rPr>
        <w:lastRenderedPageBreak/>
        <w:t>təhlükəsizliyini və əməliyyat səmərəliliyini əhəmiyyətli dərəcədə artırmışdır. Nəticədə, BTQ yalnız mövcud yük axınlarını qəbul etmək deyil, gələcəkdə artacaq tələbi qarşılamaq üçün də hazır vəziyyətə gətirilmişdir.</w:t>
      </w:r>
    </w:p>
    <w:p w:rsidR="00170F3C" w:rsidRPr="00170F3C" w:rsidRDefault="00170F3C" w:rsidP="002A70F6">
      <w:pPr>
        <w:spacing w:before="100" w:beforeAutospacing="1" w:after="100" w:afterAutospacing="1" w:line="240" w:lineRule="auto"/>
        <w:ind w:firstLine="720"/>
        <w:jc w:val="both"/>
        <w:outlineLvl w:val="1"/>
        <w:rPr>
          <w:rFonts w:ascii="Arial" w:eastAsia="Times New Roman" w:hAnsi="Arial" w:cs="Arial"/>
          <w:b/>
          <w:bCs/>
          <w:sz w:val="24"/>
          <w:szCs w:val="24"/>
        </w:rPr>
      </w:pPr>
      <w:r w:rsidRPr="00170F3C">
        <w:rPr>
          <w:rFonts w:ascii="Arial" w:eastAsia="Times New Roman" w:hAnsi="Arial" w:cs="Arial"/>
          <w:b/>
          <w:bCs/>
          <w:sz w:val="24"/>
          <w:szCs w:val="24"/>
        </w:rPr>
        <w:t xml:space="preserve">Azərbaycanın </w:t>
      </w:r>
      <w:r w:rsidR="00B87116" w:rsidRPr="00024E4B">
        <w:rPr>
          <w:rFonts w:ascii="Arial" w:eastAsia="Times New Roman" w:hAnsi="Arial" w:cs="Arial"/>
          <w:b/>
          <w:bCs/>
          <w:sz w:val="24"/>
          <w:szCs w:val="24"/>
        </w:rPr>
        <w:t>r</w:t>
      </w:r>
      <w:r w:rsidRPr="00170F3C">
        <w:rPr>
          <w:rFonts w:ascii="Arial" w:eastAsia="Times New Roman" w:hAnsi="Arial" w:cs="Arial"/>
          <w:b/>
          <w:bCs/>
          <w:sz w:val="24"/>
          <w:szCs w:val="24"/>
        </w:rPr>
        <w:t xml:space="preserve">egional </w:t>
      </w:r>
      <w:r w:rsidR="00B87116" w:rsidRPr="00024E4B">
        <w:rPr>
          <w:rFonts w:ascii="Arial" w:eastAsia="Times New Roman" w:hAnsi="Arial" w:cs="Arial"/>
          <w:b/>
          <w:bCs/>
          <w:sz w:val="24"/>
          <w:szCs w:val="24"/>
        </w:rPr>
        <w:t>l</w:t>
      </w:r>
      <w:r w:rsidRPr="00170F3C">
        <w:rPr>
          <w:rFonts w:ascii="Arial" w:eastAsia="Times New Roman" w:hAnsi="Arial" w:cs="Arial"/>
          <w:b/>
          <w:bCs/>
          <w:sz w:val="24"/>
          <w:szCs w:val="24"/>
        </w:rPr>
        <w:t xml:space="preserve">ogistika </w:t>
      </w:r>
      <w:r w:rsidR="00B87116" w:rsidRPr="00024E4B">
        <w:rPr>
          <w:rFonts w:ascii="Arial" w:eastAsia="Times New Roman" w:hAnsi="Arial" w:cs="Arial"/>
          <w:b/>
          <w:bCs/>
          <w:sz w:val="24"/>
          <w:szCs w:val="24"/>
        </w:rPr>
        <w:t>s</w:t>
      </w:r>
      <w:r w:rsidRPr="00170F3C">
        <w:rPr>
          <w:rFonts w:ascii="Arial" w:eastAsia="Times New Roman" w:hAnsi="Arial" w:cs="Arial"/>
          <w:b/>
          <w:bCs/>
          <w:sz w:val="24"/>
          <w:szCs w:val="24"/>
        </w:rPr>
        <w:t>trategiyası</w:t>
      </w:r>
    </w:p>
    <w:p w:rsidR="00170F3C" w:rsidRPr="00170F3C" w:rsidRDefault="00170F3C" w:rsidP="002A70F6">
      <w:pPr>
        <w:spacing w:before="100" w:beforeAutospacing="1" w:after="100" w:afterAutospacing="1" w:line="240" w:lineRule="auto"/>
        <w:ind w:firstLine="720"/>
        <w:jc w:val="both"/>
        <w:rPr>
          <w:rFonts w:ascii="Arial" w:eastAsia="Times New Roman" w:hAnsi="Arial" w:cs="Arial"/>
          <w:sz w:val="24"/>
          <w:szCs w:val="24"/>
        </w:rPr>
      </w:pPr>
      <w:r w:rsidRPr="00170F3C">
        <w:rPr>
          <w:rFonts w:ascii="Arial" w:eastAsia="Times New Roman" w:hAnsi="Arial" w:cs="Arial"/>
          <w:sz w:val="24"/>
          <w:szCs w:val="24"/>
        </w:rPr>
        <w:t>BTQ-nin modernləşdirilməsi Azərbaycanın son illərdə həyata keçirdiyi nəqliyyat və logistika siyasətinin mühüm tərkib hissəsidir. Azərbaycan öz coğrafi mövqeyini iqtisadi üstünlüyə çevirmək məqsədilə liman, dəmir yolu, logistika və rəqəmsal nəqliyyat infrastrukturuna milyardlarla dollar həcmində investisiya yatırmışdır.</w:t>
      </w:r>
    </w:p>
    <w:p w:rsidR="00170F3C" w:rsidRPr="00170F3C" w:rsidRDefault="00170F3C" w:rsidP="002A70F6">
      <w:pPr>
        <w:spacing w:before="100" w:beforeAutospacing="1" w:after="100" w:afterAutospacing="1" w:line="240" w:lineRule="auto"/>
        <w:ind w:firstLine="720"/>
        <w:jc w:val="both"/>
        <w:rPr>
          <w:rFonts w:ascii="Arial" w:eastAsia="Times New Roman" w:hAnsi="Arial" w:cs="Arial"/>
          <w:sz w:val="24"/>
          <w:szCs w:val="24"/>
        </w:rPr>
      </w:pPr>
      <w:r w:rsidRPr="00170F3C">
        <w:rPr>
          <w:rFonts w:ascii="Arial" w:eastAsia="Times New Roman" w:hAnsi="Arial" w:cs="Arial"/>
          <w:sz w:val="24"/>
          <w:szCs w:val="24"/>
        </w:rPr>
        <w:t>Ələt Beynəlxalq Dəniz Ticarət Limanının inkişafı, dəmir yolu infrastrukturunun yenilənməsi, logistika mərkəzlərinin yaradılması və tranzit xidmətlərinin rəqəmsallaşdırılması ölkənin regional nəqliyyat habına çevrilməsi strategiyasının əsas elementlərini təşkil edir.</w:t>
      </w:r>
    </w:p>
    <w:p w:rsidR="00170F3C" w:rsidRPr="00170F3C" w:rsidRDefault="00170F3C" w:rsidP="002A70F6">
      <w:pPr>
        <w:spacing w:before="100" w:beforeAutospacing="1" w:after="100" w:afterAutospacing="1" w:line="240" w:lineRule="auto"/>
        <w:ind w:firstLine="720"/>
        <w:jc w:val="both"/>
        <w:rPr>
          <w:rFonts w:ascii="Arial" w:eastAsia="Times New Roman" w:hAnsi="Arial" w:cs="Arial"/>
          <w:sz w:val="24"/>
          <w:szCs w:val="24"/>
        </w:rPr>
      </w:pPr>
      <w:r w:rsidRPr="00170F3C">
        <w:rPr>
          <w:rFonts w:ascii="Arial" w:eastAsia="Times New Roman" w:hAnsi="Arial" w:cs="Arial"/>
          <w:sz w:val="24"/>
          <w:szCs w:val="24"/>
        </w:rPr>
        <w:t>Bu kontekstdə BTQ dəmir yolu Azərbaycanın Şərq-Qərb nəqliyyat sistemindəki mövqeyini əhəmiyyətli dərəcədə gücləndirir. Dəmir yolunun modernləşdirilməsi Azərbaycanın tranzit ölkə statusundan daha yüksək mərhələyə keçərək regional logistika platforması rolunu möhkəmləndirməsinə xidmət edir.</w:t>
      </w:r>
    </w:p>
    <w:p w:rsidR="00170F3C" w:rsidRPr="00170F3C" w:rsidRDefault="00170F3C" w:rsidP="002A70F6">
      <w:pPr>
        <w:spacing w:before="100" w:beforeAutospacing="1" w:after="100" w:afterAutospacing="1" w:line="240" w:lineRule="auto"/>
        <w:ind w:firstLine="720"/>
        <w:jc w:val="both"/>
        <w:outlineLvl w:val="1"/>
        <w:rPr>
          <w:rFonts w:ascii="Arial" w:eastAsia="Times New Roman" w:hAnsi="Arial" w:cs="Arial"/>
          <w:b/>
          <w:bCs/>
          <w:sz w:val="24"/>
          <w:szCs w:val="24"/>
        </w:rPr>
      </w:pPr>
      <w:r w:rsidRPr="00170F3C">
        <w:rPr>
          <w:rFonts w:ascii="Arial" w:eastAsia="Times New Roman" w:hAnsi="Arial" w:cs="Arial"/>
          <w:b/>
          <w:bCs/>
          <w:sz w:val="24"/>
          <w:szCs w:val="24"/>
        </w:rPr>
        <w:t xml:space="preserve">Regional </w:t>
      </w:r>
      <w:r w:rsidR="00032669" w:rsidRPr="00024E4B">
        <w:rPr>
          <w:rFonts w:ascii="Arial" w:eastAsia="Times New Roman" w:hAnsi="Arial" w:cs="Arial"/>
          <w:b/>
          <w:bCs/>
          <w:sz w:val="24"/>
          <w:szCs w:val="24"/>
        </w:rPr>
        <w:t>ə</w:t>
      </w:r>
      <w:r w:rsidRPr="00170F3C">
        <w:rPr>
          <w:rFonts w:ascii="Arial" w:eastAsia="Times New Roman" w:hAnsi="Arial" w:cs="Arial"/>
          <w:b/>
          <w:bCs/>
          <w:sz w:val="24"/>
          <w:szCs w:val="24"/>
        </w:rPr>
        <w:t xml:space="preserve">məkdaşlığın </w:t>
      </w:r>
      <w:r w:rsidR="00032669" w:rsidRPr="00024E4B">
        <w:rPr>
          <w:rFonts w:ascii="Arial" w:eastAsia="Times New Roman" w:hAnsi="Arial" w:cs="Arial"/>
          <w:b/>
          <w:bCs/>
          <w:sz w:val="24"/>
          <w:szCs w:val="24"/>
        </w:rPr>
        <w:t>u</w:t>
      </w:r>
      <w:r w:rsidRPr="00170F3C">
        <w:rPr>
          <w:rFonts w:ascii="Arial" w:eastAsia="Times New Roman" w:hAnsi="Arial" w:cs="Arial"/>
          <w:b/>
          <w:bCs/>
          <w:sz w:val="24"/>
          <w:szCs w:val="24"/>
        </w:rPr>
        <w:t xml:space="preserve">ğurlu </w:t>
      </w:r>
      <w:r w:rsidR="00032669" w:rsidRPr="00024E4B">
        <w:rPr>
          <w:rFonts w:ascii="Arial" w:eastAsia="Times New Roman" w:hAnsi="Arial" w:cs="Arial"/>
          <w:b/>
          <w:bCs/>
          <w:sz w:val="24"/>
          <w:szCs w:val="24"/>
        </w:rPr>
        <w:t>n</w:t>
      </w:r>
      <w:r w:rsidRPr="00170F3C">
        <w:rPr>
          <w:rFonts w:ascii="Arial" w:eastAsia="Times New Roman" w:hAnsi="Arial" w:cs="Arial"/>
          <w:b/>
          <w:bCs/>
          <w:sz w:val="24"/>
          <w:szCs w:val="24"/>
        </w:rPr>
        <w:t>ümunəsi</w:t>
      </w:r>
    </w:p>
    <w:p w:rsidR="00170F3C" w:rsidRPr="00170F3C" w:rsidRDefault="00170F3C" w:rsidP="002A70F6">
      <w:pPr>
        <w:spacing w:before="100" w:beforeAutospacing="1" w:after="100" w:afterAutospacing="1" w:line="240" w:lineRule="auto"/>
        <w:ind w:firstLine="720"/>
        <w:jc w:val="both"/>
        <w:rPr>
          <w:rFonts w:ascii="Arial" w:eastAsia="Times New Roman" w:hAnsi="Arial" w:cs="Arial"/>
          <w:sz w:val="24"/>
          <w:szCs w:val="24"/>
        </w:rPr>
      </w:pPr>
      <w:r w:rsidRPr="00170F3C">
        <w:rPr>
          <w:rFonts w:ascii="Arial" w:eastAsia="Times New Roman" w:hAnsi="Arial" w:cs="Arial"/>
          <w:sz w:val="24"/>
          <w:szCs w:val="24"/>
        </w:rPr>
        <w:t>BTQ layihəsinin ən mühüm xüsusiyyətlərindən biri onun Azərbaycan, Gürcüstan və Türkiyə arasında uzunmüddətli strateji əməkdaşlığın uğurlu nümunəsi olmasıdır.</w:t>
      </w:r>
    </w:p>
    <w:p w:rsidR="00170F3C" w:rsidRPr="00170F3C" w:rsidRDefault="00170F3C" w:rsidP="002A70F6">
      <w:pPr>
        <w:spacing w:before="100" w:beforeAutospacing="1" w:after="100" w:afterAutospacing="1" w:line="240" w:lineRule="auto"/>
        <w:ind w:firstLine="720"/>
        <w:jc w:val="both"/>
        <w:rPr>
          <w:rFonts w:ascii="Arial" w:eastAsia="Times New Roman" w:hAnsi="Arial" w:cs="Arial"/>
          <w:sz w:val="24"/>
          <w:szCs w:val="24"/>
        </w:rPr>
      </w:pPr>
      <w:r w:rsidRPr="00170F3C">
        <w:rPr>
          <w:rFonts w:ascii="Arial" w:eastAsia="Times New Roman" w:hAnsi="Arial" w:cs="Arial"/>
          <w:sz w:val="24"/>
          <w:szCs w:val="24"/>
        </w:rPr>
        <w:t>Layihənin həyata keçirilməsi və modernləşdirilməsi prosesində hökumətlər, dəmir yolu administrasiyaları, podratçılar və texniki mütəxəssislər arasında sıx koordinasiya təmin edilmişdir. Nəticədə üç ölkənin birgə səyləri regionun iqtisadi və nəqliyyat potensialını əhəmiyyətli dərəcədə artırmışdır.</w:t>
      </w:r>
    </w:p>
    <w:p w:rsidR="00170F3C" w:rsidRPr="00170F3C" w:rsidRDefault="00170F3C" w:rsidP="002A70F6">
      <w:pPr>
        <w:spacing w:before="100" w:beforeAutospacing="1" w:after="100" w:afterAutospacing="1" w:line="240" w:lineRule="auto"/>
        <w:ind w:firstLine="720"/>
        <w:jc w:val="both"/>
        <w:rPr>
          <w:rFonts w:ascii="Arial" w:eastAsia="Times New Roman" w:hAnsi="Arial" w:cs="Arial"/>
          <w:sz w:val="24"/>
          <w:szCs w:val="24"/>
        </w:rPr>
      </w:pPr>
      <w:r w:rsidRPr="00170F3C">
        <w:rPr>
          <w:rFonts w:ascii="Arial" w:eastAsia="Times New Roman" w:hAnsi="Arial" w:cs="Arial"/>
          <w:sz w:val="24"/>
          <w:szCs w:val="24"/>
        </w:rPr>
        <w:t>Modernləşdirmə işlərinin tamamlanmasından sonra yaradılan BTKI Railways birgə müəssisəsi dəhlizin idarə edilməsində institusional əməkdaşlığın yeni mərhələsini formalaşdırır. Bu mexanizm gələcəkdə yükdaşımaların artması şəraitində daha səmərəli koordinasiya və idarəetməni təmin edəcək.</w:t>
      </w:r>
    </w:p>
    <w:p w:rsidR="00170F3C" w:rsidRPr="00170F3C" w:rsidRDefault="00112F63" w:rsidP="002A70F6">
      <w:pPr>
        <w:spacing w:before="100" w:beforeAutospacing="1" w:after="100" w:afterAutospacing="1" w:line="240" w:lineRule="auto"/>
        <w:ind w:firstLine="720"/>
        <w:jc w:val="both"/>
        <w:outlineLvl w:val="1"/>
        <w:rPr>
          <w:rFonts w:ascii="Arial" w:eastAsia="Times New Roman" w:hAnsi="Arial" w:cs="Arial"/>
          <w:b/>
          <w:bCs/>
          <w:sz w:val="24"/>
          <w:szCs w:val="24"/>
        </w:rPr>
      </w:pPr>
      <w:r w:rsidRPr="00024E4B">
        <w:rPr>
          <w:rFonts w:ascii="Arial" w:eastAsia="Times New Roman" w:hAnsi="Arial" w:cs="Arial"/>
          <w:b/>
          <w:bCs/>
          <w:sz w:val="24"/>
          <w:szCs w:val="24"/>
        </w:rPr>
        <w:t>Geo</w:t>
      </w:r>
      <w:r w:rsidR="009379D0" w:rsidRPr="00024E4B">
        <w:rPr>
          <w:rFonts w:ascii="Arial" w:eastAsia="Times New Roman" w:hAnsi="Arial" w:cs="Arial"/>
          <w:b/>
          <w:bCs/>
          <w:sz w:val="24"/>
          <w:szCs w:val="24"/>
        </w:rPr>
        <w:t>iqtisadi</w:t>
      </w:r>
      <w:r w:rsidRPr="00024E4B">
        <w:rPr>
          <w:rFonts w:ascii="Arial" w:eastAsia="Times New Roman" w:hAnsi="Arial" w:cs="Arial"/>
          <w:b/>
          <w:bCs/>
          <w:sz w:val="24"/>
          <w:szCs w:val="24"/>
        </w:rPr>
        <w:t xml:space="preserve"> əhəmiyyət və </w:t>
      </w:r>
      <w:r w:rsidR="00442B13" w:rsidRPr="00024E4B">
        <w:rPr>
          <w:rFonts w:ascii="Arial" w:eastAsia="Times New Roman" w:hAnsi="Arial" w:cs="Arial"/>
          <w:b/>
          <w:bCs/>
          <w:sz w:val="24"/>
          <w:szCs w:val="24"/>
        </w:rPr>
        <w:t>A</w:t>
      </w:r>
      <w:r w:rsidR="00170F3C" w:rsidRPr="00170F3C">
        <w:rPr>
          <w:rFonts w:ascii="Arial" w:eastAsia="Times New Roman" w:hAnsi="Arial" w:cs="Arial"/>
          <w:b/>
          <w:bCs/>
          <w:sz w:val="24"/>
          <w:szCs w:val="24"/>
        </w:rPr>
        <w:t>vrasiya</w:t>
      </w:r>
      <w:r w:rsidR="00442B13" w:rsidRPr="00024E4B">
        <w:rPr>
          <w:rFonts w:ascii="Arial" w:eastAsia="Times New Roman" w:hAnsi="Arial" w:cs="Arial"/>
          <w:b/>
          <w:bCs/>
          <w:sz w:val="24"/>
          <w:szCs w:val="24"/>
        </w:rPr>
        <w:t>nın</w:t>
      </w:r>
      <w:r w:rsidR="00170F3C" w:rsidRPr="00170F3C">
        <w:rPr>
          <w:rFonts w:ascii="Arial" w:eastAsia="Times New Roman" w:hAnsi="Arial" w:cs="Arial"/>
          <w:b/>
          <w:bCs/>
          <w:sz w:val="24"/>
          <w:szCs w:val="24"/>
        </w:rPr>
        <w:t xml:space="preserve"> </w:t>
      </w:r>
      <w:r w:rsidRPr="00024E4B">
        <w:rPr>
          <w:rFonts w:ascii="Arial" w:eastAsia="Times New Roman" w:hAnsi="Arial" w:cs="Arial"/>
          <w:b/>
          <w:bCs/>
          <w:sz w:val="24"/>
          <w:szCs w:val="24"/>
        </w:rPr>
        <w:t>n</w:t>
      </w:r>
      <w:r w:rsidR="00170F3C" w:rsidRPr="00170F3C">
        <w:rPr>
          <w:rFonts w:ascii="Arial" w:eastAsia="Times New Roman" w:hAnsi="Arial" w:cs="Arial"/>
          <w:b/>
          <w:bCs/>
          <w:sz w:val="24"/>
          <w:szCs w:val="24"/>
        </w:rPr>
        <w:t xml:space="preserve">əqliyyat </w:t>
      </w:r>
      <w:r w:rsidRPr="00024E4B">
        <w:rPr>
          <w:rFonts w:ascii="Arial" w:eastAsia="Times New Roman" w:hAnsi="Arial" w:cs="Arial"/>
          <w:b/>
          <w:bCs/>
          <w:sz w:val="24"/>
          <w:szCs w:val="24"/>
        </w:rPr>
        <w:t>x</w:t>
      </w:r>
      <w:r w:rsidR="00170F3C" w:rsidRPr="00170F3C">
        <w:rPr>
          <w:rFonts w:ascii="Arial" w:eastAsia="Times New Roman" w:hAnsi="Arial" w:cs="Arial"/>
          <w:b/>
          <w:bCs/>
          <w:sz w:val="24"/>
          <w:szCs w:val="24"/>
        </w:rPr>
        <w:t>əritəsi</w:t>
      </w:r>
    </w:p>
    <w:p w:rsidR="00170F3C" w:rsidRPr="00170F3C" w:rsidRDefault="00170F3C" w:rsidP="002A70F6">
      <w:pPr>
        <w:spacing w:before="100" w:beforeAutospacing="1" w:after="100" w:afterAutospacing="1" w:line="240" w:lineRule="auto"/>
        <w:ind w:firstLine="720"/>
        <w:jc w:val="both"/>
        <w:rPr>
          <w:rFonts w:ascii="Arial" w:eastAsia="Times New Roman" w:hAnsi="Arial" w:cs="Arial"/>
          <w:sz w:val="24"/>
          <w:szCs w:val="24"/>
        </w:rPr>
      </w:pPr>
      <w:r w:rsidRPr="00170F3C">
        <w:rPr>
          <w:rFonts w:ascii="Arial" w:eastAsia="Times New Roman" w:hAnsi="Arial" w:cs="Arial"/>
          <w:sz w:val="24"/>
          <w:szCs w:val="24"/>
        </w:rPr>
        <w:t>BTQ-nin əhəmiyyəti yalnız iqtisadi göstəricilə</w:t>
      </w:r>
      <w:r w:rsidR="009457A1">
        <w:rPr>
          <w:rFonts w:ascii="Arial" w:eastAsia="Times New Roman" w:hAnsi="Arial" w:cs="Arial"/>
          <w:sz w:val="24"/>
          <w:szCs w:val="24"/>
        </w:rPr>
        <w:t xml:space="preserve">rlə məhdudlaşmır. </w:t>
      </w:r>
      <w:bookmarkStart w:id="0" w:name="_GoBack"/>
      <w:bookmarkEnd w:id="0"/>
      <w:r w:rsidRPr="00170F3C">
        <w:rPr>
          <w:rFonts w:ascii="Arial" w:eastAsia="Times New Roman" w:hAnsi="Arial" w:cs="Arial"/>
          <w:sz w:val="24"/>
          <w:szCs w:val="24"/>
        </w:rPr>
        <w:t>Layihə Avrasiyanın geosiyasi və geoiqtisadi xəritəsində də mühüm dəyişikliklər yaradır.</w:t>
      </w:r>
    </w:p>
    <w:p w:rsidR="00170F3C" w:rsidRPr="00170F3C" w:rsidRDefault="00170F3C" w:rsidP="002A70F6">
      <w:pPr>
        <w:spacing w:before="100" w:beforeAutospacing="1" w:after="100" w:afterAutospacing="1" w:line="240" w:lineRule="auto"/>
        <w:ind w:firstLine="720"/>
        <w:jc w:val="both"/>
        <w:rPr>
          <w:rFonts w:ascii="Arial" w:eastAsia="Times New Roman" w:hAnsi="Arial" w:cs="Arial"/>
          <w:sz w:val="24"/>
          <w:szCs w:val="24"/>
        </w:rPr>
      </w:pPr>
      <w:r w:rsidRPr="00170F3C">
        <w:rPr>
          <w:rFonts w:ascii="Arial" w:eastAsia="Times New Roman" w:hAnsi="Arial" w:cs="Arial"/>
          <w:sz w:val="24"/>
          <w:szCs w:val="24"/>
        </w:rPr>
        <w:t>Dəmir yolu marşrutu beynəlxalq yükdaşımaların diversifikasiyasına xidmət edir və alternativ tranzit imkanlarını genişləndirir. Bu baxımdan BTQ Avropa, Mərkəzi Asiya və Cənubi Qafqaz arasında iqtisadi qarşılıqlı asılılığın dərinləşməsinə töhfə verir.</w:t>
      </w:r>
    </w:p>
    <w:p w:rsidR="00170F3C" w:rsidRPr="00170F3C" w:rsidRDefault="00170F3C" w:rsidP="002A70F6">
      <w:pPr>
        <w:spacing w:before="100" w:beforeAutospacing="1" w:after="100" w:afterAutospacing="1" w:line="240" w:lineRule="auto"/>
        <w:ind w:firstLine="720"/>
        <w:jc w:val="both"/>
        <w:rPr>
          <w:rFonts w:ascii="Arial" w:eastAsia="Times New Roman" w:hAnsi="Arial" w:cs="Arial"/>
          <w:sz w:val="24"/>
          <w:szCs w:val="24"/>
        </w:rPr>
      </w:pPr>
      <w:r w:rsidRPr="00170F3C">
        <w:rPr>
          <w:rFonts w:ascii="Arial" w:eastAsia="Times New Roman" w:hAnsi="Arial" w:cs="Arial"/>
          <w:sz w:val="24"/>
          <w:szCs w:val="24"/>
        </w:rPr>
        <w:lastRenderedPageBreak/>
        <w:t>Qazaxıstan və Özbəkistan nümayəndələrinin açılış mərasimində iştirakı da göstərir ki, BTQ artıq yalnız üç ölkənin layihəsi deyil, daha geniş regional nəqliyyat sisteminin ayrılmaz hissəsinə çevrilməkdədir.</w:t>
      </w:r>
    </w:p>
    <w:p w:rsidR="00170F3C" w:rsidRPr="00170F3C" w:rsidRDefault="00CA6E9F" w:rsidP="002A70F6">
      <w:pPr>
        <w:spacing w:before="100" w:beforeAutospacing="1" w:after="100" w:afterAutospacing="1" w:line="240" w:lineRule="auto"/>
        <w:ind w:firstLine="720"/>
        <w:jc w:val="both"/>
        <w:outlineLvl w:val="1"/>
        <w:rPr>
          <w:rFonts w:ascii="Arial" w:eastAsia="Times New Roman" w:hAnsi="Arial" w:cs="Arial"/>
          <w:b/>
          <w:bCs/>
          <w:sz w:val="24"/>
          <w:szCs w:val="24"/>
        </w:rPr>
      </w:pPr>
      <w:r w:rsidRPr="00024E4B">
        <w:rPr>
          <w:rFonts w:ascii="Arial" w:eastAsia="Times New Roman" w:hAnsi="Arial" w:cs="Arial"/>
          <w:b/>
          <w:bCs/>
          <w:sz w:val="24"/>
          <w:szCs w:val="24"/>
        </w:rPr>
        <w:t>Rəqəmsallaşma və g</w:t>
      </w:r>
      <w:r w:rsidR="00170F3C" w:rsidRPr="00170F3C">
        <w:rPr>
          <w:rFonts w:ascii="Arial" w:eastAsia="Times New Roman" w:hAnsi="Arial" w:cs="Arial"/>
          <w:b/>
          <w:bCs/>
          <w:sz w:val="24"/>
          <w:szCs w:val="24"/>
        </w:rPr>
        <w:t xml:space="preserve">ələcəyin </w:t>
      </w:r>
      <w:r w:rsidRPr="00024E4B">
        <w:rPr>
          <w:rFonts w:ascii="Arial" w:eastAsia="Times New Roman" w:hAnsi="Arial" w:cs="Arial"/>
          <w:b/>
          <w:bCs/>
          <w:sz w:val="24"/>
          <w:szCs w:val="24"/>
        </w:rPr>
        <w:t>n</w:t>
      </w:r>
      <w:r w:rsidR="00170F3C" w:rsidRPr="00170F3C">
        <w:rPr>
          <w:rFonts w:ascii="Arial" w:eastAsia="Times New Roman" w:hAnsi="Arial" w:cs="Arial"/>
          <w:b/>
          <w:bCs/>
          <w:sz w:val="24"/>
          <w:szCs w:val="24"/>
        </w:rPr>
        <w:t xml:space="preserve">əqliyyat </w:t>
      </w:r>
      <w:r w:rsidRPr="00024E4B">
        <w:rPr>
          <w:rFonts w:ascii="Arial" w:eastAsia="Times New Roman" w:hAnsi="Arial" w:cs="Arial"/>
          <w:b/>
          <w:bCs/>
          <w:sz w:val="24"/>
          <w:szCs w:val="24"/>
        </w:rPr>
        <w:t>d</w:t>
      </w:r>
      <w:r w:rsidR="00170F3C" w:rsidRPr="00170F3C">
        <w:rPr>
          <w:rFonts w:ascii="Arial" w:eastAsia="Times New Roman" w:hAnsi="Arial" w:cs="Arial"/>
          <w:b/>
          <w:bCs/>
          <w:sz w:val="24"/>
          <w:szCs w:val="24"/>
        </w:rPr>
        <w:t>əhlizləri</w:t>
      </w:r>
    </w:p>
    <w:p w:rsidR="00170F3C" w:rsidRPr="00170F3C" w:rsidRDefault="00170F3C" w:rsidP="002A70F6">
      <w:pPr>
        <w:spacing w:before="100" w:beforeAutospacing="1" w:after="100" w:afterAutospacing="1" w:line="240" w:lineRule="auto"/>
        <w:ind w:firstLine="720"/>
        <w:jc w:val="both"/>
        <w:rPr>
          <w:rFonts w:ascii="Arial" w:eastAsia="Times New Roman" w:hAnsi="Arial" w:cs="Arial"/>
          <w:sz w:val="24"/>
          <w:szCs w:val="24"/>
        </w:rPr>
      </w:pPr>
      <w:r w:rsidRPr="00170F3C">
        <w:rPr>
          <w:rFonts w:ascii="Arial" w:eastAsia="Times New Roman" w:hAnsi="Arial" w:cs="Arial"/>
          <w:sz w:val="24"/>
          <w:szCs w:val="24"/>
        </w:rPr>
        <w:t>Müasir dövrdə nəqliyyat dəhlizlərinin rəqabət qabiliyyəti təkcə fiziki infrastrukturla deyil, həm də rəqəmsal həllərlə müəyyən olunur.</w:t>
      </w:r>
    </w:p>
    <w:p w:rsidR="00170F3C" w:rsidRPr="00170F3C" w:rsidRDefault="00170F3C" w:rsidP="002A70F6">
      <w:pPr>
        <w:spacing w:before="100" w:beforeAutospacing="1" w:after="100" w:afterAutospacing="1" w:line="240" w:lineRule="auto"/>
        <w:ind w:firstLine="720"/>
        <w:jc w:val="both"/>
        <w:rPr>
          <w:rFonts w:ascii="Arial" w:eastAsia="Times New Roman" w:hAnsi="Arial" w:cs="Arial"/>
          <w:sz w:val="24"/>
          <w:szCs w:val="24"/>
        </w:rPr>
      </w:pPr>
      <w:r w:rsidRPr="00170F3C">
        <w:rPr>
          <w:rFonts w:ascii="Arial" w:eastAsia="Times New Roman" w:hAnsi="Arial" w:cs="Arial"/>
          <w:sz w:val="24"/>
          <w:szCs w:val="24"/>
        </w:rPr>
        <w:t>Orta Dəhliz boyunca elektron icazə sistemlərinin tətbiqi, gömrük prosedurlarının sadələşdirilməsi, rəqəmsal sənəd dövriyyəsi və logistika əməliyyatlarının avtomatlaşdırılması istiqamətində mühüm addımlar atılır. Bu tədbirlər tranzit müddətini azaltmaqla yanaşı, marşrutun beynəlxalq rəqabət qabiliyyətini artırır.</w:t>
      </w:r>
    </w:p>
    <w:p w:rsidR="00170F3C" w:rsidRPr="00170F3C" w:rsidRDefault="00170F3C" w:rsidP="002A70F6">
      <w:pPr>
        <w:spacing w:before="100" w:beforeAutospacing="1" w:after="100" w:afterAutospacing="1" w:line="240" w:lineRule="auto"/>
        <w:ind w:firstLine="720"/>
        <w:jc w:val="both"/>
        <w:rPr>
          <w:rFonts w:ascii="Arial" w:eastAsia="Times New Roman" w:hAnsi="Arial" w:cs="Arial"/>
          <w:sz w:val="24"/>
          <w:szCs w:val="24"/>
        </w:rPr>
      </w:pPr>
      <w:r w:rsidRPr="00170F3C">
        <w:rPr>
          <w:rFonts w:ascii="Arial" w:eastAsia="Times New Roman" w:hAnsi="Arial" w:cs="Arial"/>
          <w:sz w:val="24"/>
          <w:szCs w:val="24"/>
        </w:rPr>
        <w:t>Türk Dövlətləri Təşkilatı çərçivəsində həyata keçirilən e-Permit və digər rəqəmsal layihələr göstərir ki, gələcəkdə fiziki bağlantılar rəqəmsal inteqrasiya ilə tamamlanacaq. Bu isə BTQ-nin yalnız nəqliyyat marşrutu deyil, həm də rəqəmsal ticarət və logistika platformasının bir hissəsinə çevrilməsinə şərait yaradacaq.</w:t>
      </w:r>
    </w:p>
    <w:p w:rsidR="00170F3C" w:rsidRPr="00170F3C" w:rsidRDefault="00170F3C" w:rsidP="002A70F6">
      <w:pPr>
        <w:spacing w:before="100" w:beforeAutospacing="1" w:after="100" w:afterAutospacing="1" w:line="240" w:lineRule="auto"/>
        <w:ind w:firstLine="720"/>
        <w:jc w:val="both"/>
        <w:outlineLvl w:val="1"/>
        <w:rPr>
          <w:rFonts w:ascii="Arial" w:eastAsia="Times New Roman" w:hAnsi="Arial" w:cs="Arial"/>
          <w:b/>
          <w:bCs/>
          <w:sz w:val="24"/>
          <w:szCs w:val="24"/>
        </w:rPr>
      </w:pPr>
      <w:r w:rsidRPr="00170F3C">
        <w:rPr>
          <w:rFonts w:ascii="Arial" w:eastAsia="Times New Roman" w:hAnsi="Arial" w:cs="Arial"/>
          <w:b/>
          <w:bCs/>
          <w:sz w:val="24"/>
          <w:szCs w:val="24"/>
        </w:rPr>
        <w:t>Nəticə</w:t>
      </w:r>
    </w:p>
    <w:p w:rsidR="00170F3C" w:rsidRPr="00170F3C" w:rsidRDefault="00170F3C" w:rsidP="002A70F6">
      <w:pPr>
        <w:spacing w:before="100" w:beforeAutospacing="1" w:after="100" w:afterAutospacing="1" w:line="240" w:lineRule="auto"/>
        <w:ind w:firstLine="720"/>
        <w:jc w:val="both"/>
        <w:rPr>
          <w:rFonts w:ascii="Arial" w:eastAsia="Times New Roman" w:hAnsi="Arial" w:cs="Arial"/>
          <w:sz w:val="24"/>
          <w:szCs w:val="24"/>
        </w:rPr>
      </w:pPr>
      <w:r w:rsidRPr="00170F3C">
        <w:rPr>
          <w:rFonts w:ascii="Arial" w:eastAsia="Times New Roman" w:hAnsi="Arial" w:cs="Arial"/>
          <w:sz w:val="24"/>
          <w:szCs w:val="24"/>
        </w:rPr>
        <w:t>Bakı–Tbilisi–Qars dəmir yolunun modernləşdirilməsi və yenidən istifadəyə verilməsi sadəcə infrastruktur layihəsinin tamamlanması deyil. Bu hadisə Azərbaycan, Gürcüstan və Türkiyənin ortaq strateji baxışının, regional əməkdaşlığının və uzunmüddətli iqtisadi inteqrasiya siyasətinin real nəticəsidir.</w:t>
      </w:r>
    </w:p>
    <w:p w:rsidR="00170F3C" w:rsidRPr="00170F3C" w:rsidRDefault="00170F3C" w:rsidP="002A70F6">
      <w:pPr>
        <w:spacing w:before="100" w:beforeAutospacing="1" w:after="100" w:afterAutospacing="1" w:line="240" w:lineRule="auto"/>
        <w:ind w:firstLine="720"/>
        <w:jc w:val="both"/>
        <w:rPr>
          <w:rFonts w:ascii="Arial" w:eastAsia="Times New Roman" w:hAnsi="Arial" w:cs="Arial"/>
          <w:sz w:val="24"/>
          <w:szCs w:val="24"/>
        </w:rPr>
      </w:pPr>
      <w:r w:rsidRPr="00170F3C">
        <w:rPr>
          <w:rFonts w:ascii="Arial" w:eastAsia="Times New Roman" w:hAnsi="Arial" w:cs="Arial"/>
          <w:sz w:val="24"/>
          <w:szCs w:val="24"/>
        </w:rPr>
        <w:t>Qlobal ticarət marşrutlarının yenidən formalaşdığı bir dövrdə BTQ Orta Dəhlizin əsas sütunlarından biri kimi çıxış edir və Avrasiya məkanında yeni iqtisadi imkanlar yaradır.</w:t>
      </w:r>
    </w:p>
    <w:p w:rsidR="00170F3C" w:rsidRDefault="00170F3C" w:rsidP="002A70F6">
      <w:pPr>
        <w:spacing w:before="100" w:beforeAutospacing="1" w:after="100" w:afterAutospacing="1" w:line="240" w:lineRule="auto"/>
        <w:ind w:firstLine="720"/>
        <w:jc w:val="both"/>
        <w:rPr>
          <w:rFonts w:ascii="Arial" w:eastAsia="Times New Roman" w:hAnsi="Arial" w:cs="Arial"/>
          <w:sz w:val="24"/>
          <w:szCs w:val="24"/>
        </w:rPr>
      </w:pPr>
      <w:r w:rsidRPr="00170F3C">
        <w:rPr>
          <w:rFonts w:ascii="Arial" w:eastAsia="Times New Roman" w:hAnsi="Arial" w:cs="Arial"/>
          <w:sz w:val="24"/>
          <w:szCs w:val="24"/>
        </w:rPr>
        <w:t>Artırılmış yükötürmə qabiliyyəti, modernləşdirilmiş infrastruktur və genişlənən beynəlxalq əməkdaşlıq bu xətti XXI əsrin ən perspektivli nəqliyyat marşrutlarından birinə çevirir. Bu baxımdan BTQ-nin əhəmiyyəti yalnız bugünkü yük axınları ilə deyil, həm də gələcəkdə Avrasiyanın iqtisadi coğrafiyasının formalaşmasına verəcəyi töhfə ilə ölçüləcəkdir.</w:t>
      </w:r>
    </w:p>
    <w:p w:rsidR="00042CBE" w:rsidRPr="00170F3C" w:rsidRDefault="00042CBE" w:rsidP="002A70F6">
      <w:pPr>
        <w:spacing w:before="100" w:beforeAutospacing="1" w:after="100" w:afterAutospacing="1" w:line="240" w:lineRule="auto"/>
        <w:ind w:firstLine="720"/>
        <w:jc w:val="both"/>
        <w:rPr>
          <w:rFonts w:ascii="Arial" w:eastAsia="Times New Roman" w:hAnsi="Arial" w:cs="Arial"/>
          <w:sz w:val="24"/>
          <w:szCs w:val="24"/>
        </w:rPr>
      </w:pPr>
    </w:p>
    <w:sectPr w:rsidR="00042CBE" w:rsidRPr="00170F3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15A1"/>
    <w:rsid w:val="00024E4B"/>
    <w:rsid w:val="00032669"/>
    <w:rsid w:val="00042CBE"/>
    <w:rsid w:val="00092D1F"/>
    <w:rsid w:val="000C36EC"/>
    <w:rsid w:val="000D7A0F"/>
    <w:rsid w:val="00112F63"/>
    <w:rsid w:val="00170E75"/>
    <w:rsid w:val="00170F3C"/>
    <w:rsid w:val="002A70F6"/>
    <w:rsid w:val="002E15A1"/>
    <w:rsid w:val="003E4A4F"/>
    <w:rsid w:val="004218F5"/>
    <w:rsid w:val="00442B13"/>
    <w:rsid w:val="004A35B5"/>
    <w:rsid w:val="005E2137"/>
    <w:rsid w:val="006220DD"/>
    <w:rsid w:val="009379D0"/>
    <w:rsid w:val="009457A1"/>
    <w:rsid w:val="009A39C6"/>
    <w:rsid w:val="00AA5ADB"/>
    <w:rsid w:val="00AB54E2"/>
    <w:rsid w:val="00B87116"/>
    <w:rsid w:val="00CA6E9F"/>
    <w:rsid w:val="00DB55D4"/>
    <w:rsid w:val="00F023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EE22D9"/>
  <w15:chartTrackingRefBased/>
  <w15:docId w15:val="{57117009-2559-4A30-A1B5-7C9F10D76E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170F3C"/>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170F3C"/>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70F3C"/>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170F3C"/>
    <w:rPr>
      <w:rFonts w:ascii="Times New Roman" w:eastAsia="Times New Roman" w:hAnsi="Times New Roman" w:cs="Times New Roman"/>
      <w:b/>
      <w:bCs/>
      <w:sz w:val="36"/>
      <w:szCs w:val="36"/>
    </w:rPr>
  </w:style>
  <w:style w:type="paragraph" w:customStyle="1" w:styleId="isselectedend">
    <w:name w:val="isselectedend"/>
    <w:basedOn w:val="Normal"/>
    <w:rsid w:val="00170F3C"/>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170F3C"/>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211933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963</Words>
  <Characters>5492</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Ilyas Huseynov</dc:creator>
  <cp:keywords/>
  <dc:description/>
  <cp:lastModifiedBy>Senior Advisor</cp:lastModifiedBy>
  <cp:revision>2</cp:revision>
  <dcterms:created xsi:type="dcterms:W3CDTF">2026-06-04T11:37:00Z</dcterms:created>
  <dcterms:modified xsi:type="dcterms:W3CDTF">2026-06-04T11:37:00Z</dcterms:modified>
</cp:coreProperties>
</file>